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8" w:type="pct"/>
        <w:jc w:val="center"/>
        <w:tblLayout w:type="fixed"/>
        <w:tblLook w:val="04A0" w:firstRow="1" w:lastRow="0" w:firstColumn="1" w:lastColumn="0" w:noHBand="0" w:noVBand="1"/>
      </w:tblPr>
      <w:tblGrid>
        <w:gridCol w:w="601"/>
        <w:gridCol w:w="543"/>
        <w:gridCol w:w="724"/>
        <w:gridCol w:w="1166"/>
        <w:gridCol w:w="1309"/>
        <w:gridCol w:w="1071"/>
        <w:gridCol w:w="814"/>
        <w:gridCol w:w="272"/>
        <w:gridCol w:w="342"/>
        <w:gridCol w:w="444"/>
        <w:gridCol w:w="575"/>
        <w:gridCol w:w="641"/>
      </w:tblGrid>
      <w:tr w:rsidR="004861B5" w14:paraId="1E21630D" w14:textId="77777777">
        <w:trPr>
          <w:trHeight w:hRule="exact" w:val="440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3DF7C" w14:textId="77777777" w:rsidR="004861B5" w:rsidRDefault="0000000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4861B5" w14:paraId="4C12A8C1" w14:textId="77777777">
        <w:trPr>
          <w:trHeight w:val="194"/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1E1BCBF" w14:textId="77777777" w:rsidR="004861B5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（2023年度）</w:t>
            </w:r>
          </w:p>
        </w:tc>
      </w:tr>
      <w:tr w:rsidR="004861B5" w14:paraId="6199D0FB" w14:textId="77777777">
        <w:trPr>
          <w:trHeight w:hRule="exact" w:val="291"/>
          <w:jc w:val="center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C4E4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432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E21F8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回龙观医院青苗人才第八期第一年</w:t>
            </w:r>
          </w:p>
        </w:tc>
      </w:tr>
      <w:tr w:rsidR="004861B5" w14:paraId="443A9F94" w14:textId="77777777">
        <w:trPr>
          <w:trHeight w:hRule="exact" w:val="291"/>
          <w:jc w:val="center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30C42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25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A1DC9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北京市医院管理中心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591BD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3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50B2E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北京回龙观医院</w:t>
            </w:r>
          </w:p>
        </w:tc>
      </w:tr>
      <w:tr w:rsidR="004861B5" w14:paraId="2DFE71F7" w14:textId="77777777">
        <w:trPr>
          <w:trHeight w:hRule="exact" w:val="291"/>
          <w:jc w:val="center"/>
        </w:trPr>
        <w:tc>
          <w:tcPr>
            <w:tcW w:w="6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8CFA1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251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20551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于婷、宋佳起、张蒙、魏艳艳、马梦颖、胡娜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2C63F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33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C4636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83024390</w:t>
            </w:r>
          </w:p>
        </w:tc>
      </w:tr>
      <w:tr w:rsidR="004861B5" w14:paraId="03DC921C" w14:textId="77777777">
        <w:trPr>
          <w:trHeight w:hRule="exact" w:val="644"/>
          <w:jc w:val="center"/>
        </w:trPr>
        <w:tc>
          <w:tcPr>
            <w:tcW w:w="6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DD3C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20BBC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8E2F8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81C5D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4CE37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7D0D2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2F504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E3D25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4861B5" w14:paraId="3C93DE16" w14:textId="77777777">
        <w:trPr>
          <w:trHeight w:hRule="exact" w:val="312"/>
          <w:jc w:val="center"/>
        </w:trPr>
        <w:tc>
          <w:tcPr>
            <w:tcW w:w="6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E23C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CFC20" w14:textId="77777777" w:rsidR="004861B5" w:rsidRDefault="0000000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139C8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21.00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32858B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21.00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A282C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21.00</w:t>
            </w:r>
          </w:p>
        </w:tc>
        <w:tc>
          <w:tcPr>
            <w:tcW w:w="6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3F16E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1F3CE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326CB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861B5" w14:paraId="755502B5" w14:textId="77777777">
        <w:trPr>
          <w:trHeight w:hRule="exact" w:val="291"/>
          <w:jc w:val="center"/>
        </w:trPr>
        <w:tc>
          <w:tcPr>
            <w:tcW w:w="6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CF82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4612E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0E8F8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21.00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641F7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21.00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D92B3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21.00</w:t>
            </w:r>
          </w:p>
        </w:tc>
        <w:tc>
          <w:tcPr>
            <w:tcW w:w="6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19B11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6C44D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591BF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4861B5" w14:paraId="5C6F9564" w14:textId="77777777">
        <w:trPr>
          <w:trHeight w:hRule="exact" w:val="291"/>
          <w:jc w:val="center"/>
        </w:trPr>
        <w:tc>
          <w:tcPr>
            <w:tcW w:w="6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5CE0B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523D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5CA9F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B1525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70F0C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91AB2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2089D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142E1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861B5" w14:paraId="17D8FD2A" w14:textId="77777777">
        <w:trPr>
          <w:trHeight w:hRule="exact" w:val="291"/>
          <w:jc w:val="center"/>
        </w:trPr>
        <w:tc>
          <w:tcPr>
            <w:tcW w:w="67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0D7F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997C1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FA00D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C03DC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D19EA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7FDC0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E7D21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30E51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4861B5" w14:paraId="367AF72D" w14:textId="77777777">
        <w:trPr>
          <w:trHeight w:hRule="exact" w:val="291"/>
          <w:jc w:val="center"/>
        </w:trPr>
        <w:tc>
          <w:tcPr>
            <w:tcW w:w="3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EF86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283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5DB84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1814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35044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4861B5" w14:paraId="08D5D104" w14:textId="77777777">
        <w:trPr>
          <w:trHeight w:hRule="exact" w:val="3673"/>
          <w:jc w:val="center"/>
        </w:trPr>
        <w:tc>
          <w:tcPr>
            <w:tcW w:w="3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95536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6C69E" w14:textId="77777777" w:rsidR="004861B5" w:rsidRPr="00F1520C" w:rsidRDefault="00000000" w:rsidP="00F1520C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课题</w:t>
            </w:r>
            <w:proofErr w:type="gramStart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一</w:t>
            </w:r>
            <w:proofErr w:type="gramEnd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（于婷）：电子临床观察表开发；量表一致性培训；研究对象纳入</w:t>
            </w:r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br/>
              <w:t>课题二（宋佳起）：研究用记录表制作、研究人员量表一致性培训等准备工作；部分研究数据收集                                                                         课题三（魏艳艳）：完成每组25</w:t>
            </w:r>
            <w:proofErr w:type="gramStart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例研究</w:t>
            </w:r>
            <w:proofErr w:type="gramEnd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数据的收集，完成各项研究准备，包括研究用记录表，临床资料收集，情绪及认知功能测查，及血样的收集。                                                                      课题四（张蒙）：研究用记录表制作、fMRI 范式预实验等研究准备工作；部分研究数据收集                                                                             课题五（马梦颖）：完成部分精神分裂症和健康对照人群的数据采集，整理汇总统计分析结果。                                                                             课题六（胡娜）：完成量表一致性培训等准备工作；完成部分数据收集。</w:t>
            </w:r>
          </w:p>
        </w:tc>
        <w:tc>
          <w:tcPr>
            <w:tcW w:w="2445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E789B" w14:textId="77777777" w:rsidR="004861B5" w:rsidRPr="00F1520C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课题</w:t>
            </w:r>
            <w:proofErr w:type="gramStart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一</w:t>
            </w:r>
            <w:proofErr w:type="gramEnd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（于婷）：完成电子临床观察表开发；完成量表一致性培训；完成研究对象纳入</w:t>
            </w:r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br/>
              <w:t>课题二（宋佳起）：完成研究用记录表制作、一致性培训，收集64</w:t>
            </w:r>
            <w:proofErr w:type="gramStart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例研究</w:t>
            </w:r>
            <w:proofErr w:type="gramEnd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数据收集                                                                                课题三（魏艳艳）：完成CRF的制作、量表培训等准备工作，完成每组25</w:t>
            </w:r>
            <w:proofErr w:type="gramStart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例研究</w:t>
            </w:r>
            <w:proofErr w:type="gramEnd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对象入组及数据收集。                                                                                              课题四（张蒙）：完成研究用记录表制作、fMRI范式预实验；完成60</w:t>
            </w:r>
            <w:proofErr w:type="gramStart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例研究</w:t>
            </w:r>
            <w:proofErr w:type="gramEnd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数据收集。                                                                              课题五（马梦颖）：完成部分精神分裂症和健康对照人群的数据采集，整理汇总统计分析结果。                                                                               课题六（胡娜）：完成量表一致性培训等准备工作；完成45</w:t>
            </w:r>
            <w:proofErr w:type="gramStart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例研究</w:t>
            </w:r>
            <w:proofErr w:type="gramEnd"/>
            <w:r w:rsidRPr="00F1520C">
              <w:rPr>
                <w:rFonts w:ascii="宋体" w:hAnsi="宋体" w:cs="宋体" w:hint="eastAsia"/>
                <w:color w:val="000000"/>
                <w:kern w:val="0"/>
                <w:sz w:val="15"/>
                <w:szCs w:val="15"/>
                <w:lang w:bidi="ar"/>
              </w:rPr>
              <w:t>数据的收集。</w:t>
            </w:r>
          </w:p>
        </w:tc>
      </w:tr>
      <w:tr w:rsidR="004861B5" w14:paraId="6569F737" w14:textId="77777777">
        <w:trPr>
          <w:trHeight w:hRule="exact" w:val="517"/>
          <w:jc w:val="center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03FDA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  <w:p w14:paraId="235E46EB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（90分）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6C1A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0D45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4D23A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1E3D1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5CFDC694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0D0F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45D9C480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44A5A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52F19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C81BC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4861B5" w14:paraId="7DBC316F" w14:textId="77777777">
        <w:trPr>
          <w:trHeight w:hRule="exact" w:val="48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DE4BB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C950D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14:paraId="586EF9A0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50分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4A2A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8FB56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电子临床观察表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ED00F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1个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0A3AC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1个 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3B741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A142E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4DAD6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61B5" w14:paraId="3EDBE460" w14:textId="77777777">
        <w:trPr>
          <w:trHeight w:hRule="exact" w:val="966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6C88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64F7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71D1E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4C305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完成样本收集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A565B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285例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FBC18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255例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FD928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AB7B6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69556" w14:textId="77777777" w:rsidR="004861B5" w:rsidRDefault="00000000">
            <w:pPr>
              <w:widowControl/>
              <w:tabs>
                <w:tab w:val="left" w:pos="487"/>
              </w:tabs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部分患者因磁共振数据不合格被剔除，预计在2024年加快进度，完成例数</w:t>
            </w:r>
          </w:p>
        </w:tc>
      </w:tr>
      <w:tr w:rsidR="004861B5" w14:paraId="4B9D31C3" w14:textId="77777777">
        <w:trPr>
          <w:trHeight w:hRule="exact" w:val="886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51271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2B2D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4B0A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5BBD6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培养掌握fMRI规范化实验技术、认知功能测查、核磁及血样检测、量表评估及血样检测实验技术人员个数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3EEAA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9人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7B523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9人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D078F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7DEED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00C1A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61B5" w14:paraId="7759E118" w14:textId="77777777">
        <w:trPr>
          <w:trHeight w:hRule="exact" w:val="29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AEA77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D543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F32BF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AA733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量表一致性 ICC（组内相关系数）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ED12E4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≥0.75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A739F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≥0.75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32567B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C7D9B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B83BD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61B5" w14:paraId="2D9E3590" w14:textId="77777777">
        <w:trPr>
          <w:trHeight w:hRule="exact" w:val="29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4416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EF43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CAD11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822D8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被试脱落率 </w:t>
            </w: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D7EC0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≤10%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47420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≤10%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37CA70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E0A39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AF6E2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61B5" w14:paraId="0E0AC648" w14:textId="77777777">
        <w:trPr>
          <w:trHeight w:hRule="exact" w:val="565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999A6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41F5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26E1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B352B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研究设计、人员组织和分工、量表评定人员的一致性培训完成程度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38BA3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6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BDF6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100%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466BA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5B7AC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433F9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61B5" w14:paraId="62764D34" w14:textId="77777777">
        <w:trPr>
          <w:trHeight w:hRule="exact" w:val="29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5E25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98ECE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834C0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8145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电子临床观察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表开发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7ED89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2023年1月前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086D2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2023年1月前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0F44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698A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491B3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61B5" w14:paraId="43661EDA" w14:textId="77777777">
        <w:trPr>
          <w:trHeight w:hRule="exact" w:val="29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CA12C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01AA9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B7AAC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DD195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研究对象纳入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E0458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2023年12月前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54D2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2023年12月前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7E69C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6E535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409BC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61B5" w14:paraId="383C9AB8" w14:textId="77777777">
        <w:trPr>
          <w:trHeight w:val="145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7BD2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CECF8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BE374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18845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完成基线数据收集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5A293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2023年10月底前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A9D46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2023年10月底前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3EED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AE24A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802B5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61B5" w14:paraId="7FADAE02" w14:textId="77777777">
        <w:trPr>
          <w:trHeight w:val="145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84AD5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B7385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B7A40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C749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完成满意度调查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13C9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2023年11月底前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ADECF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2023年11月底前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28E67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F224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F1821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61B5" w14:paraId="56D1D5FF" w14:textId="77777777">
        <w:trPr>
          <w:trHeight w:hRule="exact" w:val="602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8507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13296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E848E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1FE9D0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材料费、专利申请费、文献检索费、劳务费、人才培养费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D38A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21万元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51C17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21万元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78B9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06EE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BB5E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61B5" w14:paraId="30620072" w14:textId="77777777">
        <w:trPr>
          <w:trHeight w:val="453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B711A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EC7A4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  <w:p w14:paraId="193DA636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30分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31F7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3A6FD475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64C91" w14:textId="77777777" w:rsidR="004861B5" w:rsidRDefault="00000000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掌握精神症状的识别、临床量表的评估、认知功能的评估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243C22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通过率65%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395BB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通过率65%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3F550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6B163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00D10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4861B5" w14:paraId="4F5161DA" w14:textId="77777777">
        <w:trPr>
          <w:trHeight w:val="44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7E2F7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F77F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8DD7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F4E9E" w14:textId="77777777" w:rsidR="004861B5" w:rsidRDefault="00000000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掌握神经影像学数据的分析处理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7D13F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合格率90%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35387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合格率90%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81C6A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6D517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9B13D" w14:textId="77777777" w:rsidR="004861B5" w:rsidRDefault="004861B5">
            <w:pPr>
              <w:widowControl/>
              <w:spacing w:line="240" w:lineRule="exact"/>
              <w:jc w:val="center"/>
            </w:pPr>
          </w:p>
        </w:tc>
      </w:tr>
      <w:tr w:rsidR="004861B5" w14:paraId="15FDF686" w14:textId="77777777">
        <w:trPr>
          <w:trHeight w:val="44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3C93B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B9886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74073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02FB4" w14:textId="77777777" w:rsidR="004861B5" w:rsidRDefault="00000000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对精神分裂症核心临床症状可能产生的神经病理机制进行描绘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2E182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明确重点观察脑环路的范围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21F41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已明确重点脑环路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5D116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315FB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F019E" w14:textId="77777777" w:rsidR="004861B5" w:rsidRDefault="004861B5">
            <w:pPr>
              <w:widowControl/>
              <w:spacing w:line="240" w:lineRule="exact"/>
              <w:jc w:val="center"/>
            </w:pPr>
          </w:p>
        </w:tc>
      </w:tr>
      <w:tr w:rsidR="004861B5" w14:paraId="6649CC1B" w14:textId="77777777">
        <w:trPr>
          <w:trHeight w:val="44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738BD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87E22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9F2A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5ECAA" w14:textId="77777777" w:rsidR="004861B5" w:rsidRDefault="00000000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观察精神分裂症患者的生活质量变化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530DD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受试者生活质量提高10%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078D6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受试者生活质量提高10%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86875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C2B9F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22171" w14:textId="77777777" w:rsidR="004861B5" w:rsidRDefault="004861B5">
            <w:pPr>
              <w:widowControl/>
              <w:spacing w:line="240" w:lineRule="exact"/>
              <w:jc w:val="center"/>
            </w:pPr>
          </w:p>
        </w:tc>
      </w:tr>
      <w:tr w:rsidR="004861B5" w14:paraId="03D77D05" w14:textId="77777777">
        <w:trPr>
          <w:trHeight w:val="44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22C4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95D0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239E2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36D8B" w14:textId="77777777" w:rsidR="004861B5" w:rsidRDefault="00000000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观察治疗前后精神分裂症患者的食欲和体重增加的控制程度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E2A31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受试者的食欲较前减少10%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55238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受试者的食欲较前减少10%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025EE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BF167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8E360" w14:textId="77777777" w:rsidR="004861B5" w:rsidRDefault="004861B5">
            <w:pPr>
              <w:widowControl/>
              <w:spacing w:line="240" w:lineRule="exact"/>
              <w:jc w:val="center"/>
            </w:pPr>
          </w:p>
        </w:tc>
      </w:tr>
      <w:tr w:rsidR="004861B5" w14:paraId="37FE9456" w14:textId="77777777">
        <w:trPr>
          <w:trHeight w:val="44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3E38F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CE5F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3023B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9649B" w14:textId="77777777" w:rsidR="004861B5" w:rsidRDefault="00000000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初步阐明精神分裂症血清同型半胱氨酸与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脑结构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和认知功能的关系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5599C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探索精神分裂症血清同型半胱氨酸与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脑结构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和认知功能的关系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BA492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已初步阐明精神分裂症血清同型半胱氨酸与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脑结构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和认知功能的关系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521EB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32D01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26A23" w14:textId="77777777" w:rsidR="004861B5" w:rsidRDefault="004861B5">
            <w:pPr>
              <w:widowControl/>
              <w:spacing w:line="240" w:lineRule="exact"/>
              <w:jc w:val="center"/>
            </w:pPr>
          </w:p>
        </w:tc>
      </w:tr>
      <w:tr w:rsidR="004861B5" w14:paraId="116F9DA6" w14:textId="77777777">
        <w:trPr>
          <w:trHeight w:val="441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75FE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6772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2F8B" w14:textId="77777777" w:rsidR="004861B5" w:rsidRDefault="004861B5">
            <w:pPr>
              <w:widowControl/>
              <w:spacing w:line="240" w:lineRule="exact"/>
              <w:jc w:val="center"/>
            </w:pP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9CB01" w14:textId="77777777" w:rsidR="004861B5" w:rsidRDefault="00000000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对单、双相抑郁障碍患者的病理机制进行描绘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DA13B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探索单、双相抑郁障碍患者的病理机制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F334C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已初步阐明单双相抑郁障碍的差异及可能机制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F9C70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14681" w14:textId="77777777" w:rsidR="004861B5" w:rsidRDefault="00000000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AD08E" w14:textId="77777777" w:rsidR="004861B5" w:rsidRDefault="004861B5">
            <w:pPr>
              <w:widowControl/>
              <w:spacing w:line="240" w:lineRule="exact"/>
              <w:jc w:val="center"/>
            </w:pPr>
          </w:p>
        </w:tc>
      </w:tr>
      <w:tr w:rsidR="004861B5" w14:paraId="67164FCB" w14:textId="77777777">
        <w:trPr>
          <w:trHeight w:hRule="exact" w:val="833"/>
          <w:jc w:val="center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966A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A2152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621D2533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  <w:p w14:paraId="13290147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10分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2BBEA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4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FBF8B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团队研究人员/参与人员满意度 </w:t>
            </w:r>
          </w:p>
        </w:tc>
        <w:tc>
          <w:tcPr>
            <w:tcW w:w="6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438E5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≥90%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79DB4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≥90%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9ED9D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D771A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EFCD5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4861B5" w14:paraId="3D234EA0" w14:textId="77777777">
        <w:trPr>
          <w:trHeight w:hRule="exact" w:val="486"/>
          <w:jc w:val="center"/>
        </w:trPr>
        <w:tc>
          <w:tcPr>
            <w:tcW w:w="38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0579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ECDEC" w14:textId="77777777" w:rsidR="004861B5" w:rsidRDefault="0000000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E9DD8" w14:textId="77777777" w:rsidR="004861B5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>99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A2968" w14:textId="77777777" w:rsidR="004861B5" w:rsidRDefault="004861B5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14:paraId="0E8C33C8" w14:textId="77777777" w:rsidR="004861B5" w:rsidRDefault="004861B5"/>
    <w:sectPr w:rsidR="004861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2VmNzg3M2YyNzI2OWUwN2ZlM2M1MDc2ZTZlNGJjZTUifQ=="/>
  </w:docVars>
  <w:rsids>
    <w:rsidRoot w:val="28FF42C9"/>
    <w:rsid w:val="004861B5"/>
    <w:rsid w:val="00F1520C"/>
    <w:rsid w:val="0167401F"/>
    <w:rsid w:val="044C53FF"/>
    <w:rsid w:val="1C46568C"/>
    <w:rsid w:val="28FF42C9"/>
    <w:rsid w:val="3A7B381C"/>
    <w:rsid w:val="4132393A"/>
    <w:rsid w:val="4BE3315F"/>
    <w:rsid w:val="4D224208"/>
    <w:rsid w:val="620F5241"/>
    <w:rsid w:val="63872CC8"/>
    <w:rsid w:val="6E7838C8"/>
    <w:rsid w:val="7AD4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2E0A7C"/>
  <w15:docId w15:val="{4A6A9B96-E2F8-477F-ADE9-2D8A54492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Lines="50" w:before="50"/>
      <w:ind w:firstLineChars="200" w:firstLine="670"/>
      <w:jc w:val="left"/>
      <w:outlineLvl w:val="0"/>
    </w:pPr>
    <w:rPr>
      <w:rFonts w:eastAsia="黑体" w:hint="eastAsia"/>
      <w:kern w:val="44"/>
      <w:sz w:val="32"/>
      <w:szCs w:val="32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csj</dc:creator>
  <cp:lastModifiedBy>张雪</cp:lastModifiedBy>
  <cp:revision>2</cp:revision>
  <dcterms:created xsi:type="dcterms:W3CDTF">2024-04-16T02:39:00Z</dcterms:created>
  <dcterms:modified xsi:type="dcterms:W3CDTF">2024-06-05T12:54:00Z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F03ACE3CE6D146728D76A4A7EDF0ACF2_11</vt:lpwstr>
  </property>
</Properties>
</file>